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51B267" w14:textId="74349517" w:rsidR="00BF4B21" w:rsidRPr="00BF4B21" w:rsidRDefault="00BF4B21" w:rsidP="00BF4B21">
      <w:pPr>
        <w:jc w:val="center"/>
      </w:pPr>
      <w:bookmarkStart w:id="0" w:name="_Hlk78469989"/>
      <w:bookmarkEnd w:id="0"/>
      <w:r w:rsidRPr="00BF4B21">
        <w:t>COMMUNICATION</w:t>
      </w:r>
    </w:p>
    <w:p w14:paraId="3F7AC41C" w14:textId="2CA6012B" w:rsidR="00B55B97" w:rsidRPr="00B55B97" w:rsidRDefault="00B55B97" w:rsidP="00B55B97">
      <w:pPr>
        <w:pStyle w:val="Title"/>
        <w:rPr>
          <w:rStyle w:val="SubtitleChar"/>
          <w:rFonts w:ascii="Arial Black" w:eastAsiaTheme="majorEastAsia" w:hAnsi="Arial Black"/>
          <w:color w:val="auto"/>
          <w:spacing w:val="-10"/>
          <w:sz w:val="28"/>
          <w:szCs w:val="56"/>
        </w:rPr>
      </w:pPr>
      <w:r w:rsidRPr="00B55B97">
        <w:rPr>
          <w:rStyle w:val="SubtitleChar"/>
          <w:rFonts w:ascii="Arial Black" w:eastAsiaTheme="majorEastAsia" w:hAnsi="Arial Black"/>
          <w:color w:val="auto"/>
          <w:spacing w:val="-10"/>
          <w:sz w:val="28"/>
          <w:szCs w:val="56"/>
        </w:rPr>
        <w:t>Folded Seats-Votes Curves</w:t>
      </w:r>
    </w:p>
    <w:p w14:paraId="7D8E95FE" w14:textId="00791081" w:rsidR="00BF4B21" w:rsidRPr="00BF4B21" w:rsidRDefault="00BF4B21" w:rsidP="00BF4B21">
      <w:pPr>
        <w:pStyle w:val="Title"/>
      </w:pPr>
      <w:r w:rsidRPr="00BF4B21">
        <w:rPr>
          <w:rStyle w:val="SubtitleChar"/>
        </w:rPr>
        <w:t xml:space="preserve">Comparing Partisan Bias in the 2020 Presidential Election </w:t>
      </w:r>
      <w:proofErr w:type="gramStart"/>
      <w:r w:rsidRPr="00BF4B21">
        <w:rPr>
          <w:rStyle w:val="SubtitleChar"/>
        </w:rPr>
        <w:t>With</w:t>
      </w:r>
      <w:proofErr w:type="gramEnd"/>
      <w:r w:rsidRPr="00BF4B21">
        <w:rPr>
          <w:rStyle w:val="SubtitleChar"/>
        </w:rPr>
        <w:t xml:space="preserve"> Partisan Bias in the Five Other Presidential Elections in the 21st Centur</w:t>
      </w:r>
      <w:r>
        <w:rPr>
          <w:rStyle w:val="SubtitleChar"/>
        </w:rPr>
        <w:t>y*</w:t>
      </w:r>
    </w:p>
    <w:p w14:paraId="7D0EF242" w14:textId="3C103C5A" w:rsidR="00BF4B21" w:rsidRDefault="00BF4B21" w:rsidP="00BF4B21">
      <w:pPr>
        <w:pStyle w:val="Heading4"/>
        <w:jc w:val="center"/>
        <w:rPr>
          <w:i w:val="0"/>
          <w:iCs w:val="0"/>
          <w:lang w:val="en-GB"/>
        </w:rPr>
      </w:pPr>
    </w:p>
    <w:p w14:paraId="55E8138C" w14:textId="77777777" w:rsidR="00506F57" w:rsidRPr="00506F57" w:rsidRDefault="00506F57" w:rsidP="00506F57">
      <w:pPr>
        <w:rPr>
          <w:lang w:val="en-GB"/>
        </w:rPr>
      </w:pPr>
    </w:p>
    <w:p w14:paraId="4170C377" w14:textId="77777777" w:rsidR="00BF4B21" w:rsidRPr="00BF4B21" w:rsidRDefault="00BF4B21" w:rsidP="00BF4B21">
      <w:pPr>
        <w:pStyle w:val="Heading4"/>
        <w:jc w:val="center"/>
        <w:rPr>
          <w:rStyle w:val="SubtleEmphasis"/>
        </w:rPr>
      </w:pPr>
      <w:r w:rsidRPr="00BF4B21">
        <w:rPr>
          <w:rStyle w:val="SubtleEmphasis"/>
        </w:rPr>
        <w:t>Jonathan Cervas</w:t>
      </w:r>
    </w:p>
    <w:p w14:paraId="1E077EE1" w14:textId="77777777" w:rsidR="00BF4B21" w:rsidRPr="00BF4B21" w:rsidRDefault="00BF4B21" w:rsidP="00BF4B21">
      <w:pPr>
        <w:pStyle w:val="Heading4"/>
        <w:jc w:val="center"/>
        <w:rPr>
          <w:rStyle w:val="SubtleEmphasis"/>
        </w:rPr>
      </w:pPr>
      <w:r w:rsidRPr="00BF4B21">
        <w:rPr>
          <w:rStyle w:val="SubtleEmphasis"/>
        </w:rPr>
        <w:t>Carnegie Mellon University</w:t>
      </w:r>
    </w:p>
    <w:p w14:paraId="209B3EA1" w14:textId="77777777" w:rsidR="00BF4B21" w:rsidRPr="00BF4B21" w:rsidRDefault="00BF4B21" w:rsidP="00BF4B21">
      <w:pPr>
        <w:pStyle w:val="Heading4"/>
        <w:jc w:val="center"/>
        <w:rPr>
          <w:rStyle w:val="SubtleEmphasis"/>
        </w:rPr>
      </w:pPr>
    </w:p>
    <w:p w14:paraId="7EBE6580" w14:textId="77777777" w:rsidR="00BF4B21" w:rsidRPr="00BF4B21" w:rsidRDefault="00BF4B21" w:rsidP="00BF4B21">
      <w:pPr>
        <w:pStyle w:val="Heading4"/>
        <w:jc w:val="center"/>
        <w:rPr>
          <w:rStyle w:val="SubtleEmphasis"/>
        </w:rPr>
      </w:pPr>
      <w:r w:rsidRPr="00BF4B21">
        <w:rPr>
          <w:rStyle w:val="SubtleEmphasis"/>
        </w:rPr>
        <w:t>Bernard Grofman</w:t>
      </w:r>
    </w:p>
    <w:p w14:paraId="6948D67C" w14:textId="77777777" w:rsidR="00BF4B21" w:rsidRPr="00BF4B21" w:rsidRDefault="00BF4B21" w:rsidP="00BF4B21">
      <w:pPr>
        <w:pStyle w:val="Heading4"/>
        <w:jc w:val="center"/>
        <w:rPr>
          <w:rStyle w:val="SubtleEmphasis"/>
        </w:rPr>
      </w:pPr>
      <w:r w:rsidRPr="00BF4B21">
        <w:rPr>
          <w:rStyle w:val="SubtleEmphasis"/>
        </w:rPr>
        <w:t>University of California, Irvine</w:t>
      </w:r>
    </w:p>
    <w:p w14:paraId="2A593DF9" w14:textId="77777777" w:rsidR="00BF4B21" w:rsidRPr="00BF4B21" w:rsidRDefault="00BF4B21" w:rsidP="00BF4B21">
      <w:pPr>
        <w:pStyle w:val="Heading4"/>
        <w:jc w:val="center"/>
        <w:rPr>
          <w:rStyle w:val="SubtleEmphasis"/>
        </w:rPr>
      </w:pPr>
    </w:p>
    <w:p w14:paraId="3CAB34A7" w14:textId="77777777" w:rsidR="00BF4B21" w:rsidRPr="00BF4B21" w:rsidRDefault="00BF4B21" w:rsidP="00BF4B21">
      <w:pPr>
        <w:pStyle w:val="Heading4"/>
        <w:jc w:val="center"/>
        <w:rPr>
          <w:rStyle w:val="SubtleEmphasis"/>
        </w:rPr>
      </w:pPr>
      <w:r w:rsidRPr="00BF4B21">
        <w:rPr>
          <w:rStyle w:val="SubtleEmphasis"/>
        </w:rPr>
        <w:t>John F. Nagle</w:t>
      </w:r>
    </w:p>
    <w:p w14:paraId="7556CF62" w14:textId="7179E902" w:rsidR="00BF4B21" w:rsidRPr="00BF4B21" w:rsidRDefault="00BF4B21" w:rsidP="00BF4B21">
      <w:pPr>
        <w:pStyle w:val="Heading4"/>
        <w:jc w:val="center"/>
        <w:rPr>
          <w:rStyle w:val="SubtleEmphasis"/>
        </w:rPr>
      </w:pPr>
      <w:r w:rsidRPr="00BF4B21">
        <w:rPr>
          <w:rStyle w:val="SubtleEmphasis"/>
        </w:rPr>
        <w:t>Carnegie Mellon University</w:t>
      </w:r>
    </w:p>
    <w:p w14:paraId="1E5EE6C7" w14:textId="20488B2B" w:rsidR="00BF4B21" w:rsidRPr="00BF4B21" w:rsidRDefault="00BF4B21" w:rsidP="00BF4B21">
      <w:pPr>
        <w:pStyle w:val="Heading4"/>
        <w:jc w:val="center"/>
        <w:rPr>
          <w:rStyle w:val="SubtleEmphasis"/>
        </w:rPr>
      </w:pPr>
      <w:r w:rsidRPr="00BF4B21">
        <w:rPr>
          <w:rStyle w:val="SubtleEmphasis"/>
        </w:rPr>
        <w:t>July 28, 2021</w:t>
      </w:r>
    </w:p>
    <w:p w14:paraId="39C823A7" w14:textId="77777777" w:rsidR="00BF4B21" w:rsidRPr="00BF4B21" w:rsidRDefault="00BF4B21" w:rsidP="00BF4B21">
      <w:pPr>
        <w:rPr>
          <w:u w:val="single"/>
        </w:rPr>
      </w:pPr>
    </w:p>
    <w:p w14:paraId="6DEECB43" w14:textId="77777777" w:rsidR="00BF4B21" w:rsidRPr="00BF4B21" w:rsidRDefault="00BF4B21" w:rsidP="00BF4B21"/>
    <w:p w14:paraId="7CF8B875" w14:textId="77777777" w:rsidR="00BF4B21" w:rsidRPr="00BF4B21" w:rsidRDefault="00BF4B21" w:rsidP="00BF4B21"/>
    <w:p w14:paraId="6CC948BA" w14:textId="77777777" w:rsidR="00BF4B21" w:rsidRPr="00BF4B21" w:rsidRDefault="00BF4B21" w:rsidP="00BF4B21">
      <w:r w:rsidRPr="00BF4B21">
        <w:t xml:space="preserve">* Cervas is a Post-Doctoral Fellow, Institute for Strategy and Politics, Carnegie Mellon University (CMU). Grofman is Distinguished Professor of Political Science and Jack W. Peltason Chair of Democracy Studies, the University of California, Irvine. Nagle is Professor Emeritus of Physics at CMU. </w:t>
      </w:r>
      <w:proofErr w:type="spellStart"/>
      <w:r w:rsidRPr="00BF4B21">
        <w:t>Grofman’s</w:t>
      </w:r>
      <w:proofErr w:type="spellEnd"/>
      <w:r w:rsidRPr="00BF4B21">
        <w:t xml:space="preserve"> research was supported by the Peltason Chair. We are indebted to J. L. Lederman, an undergraduate at CMU for helpful work under the supervision of Professor Cervas on the topic of this paper.</w:t>
      </w:r>
    </w:p>
    <w:p w14:paraId="00F7FAE4" w14:textId="77777777" w:rsidR="00BF4B21" w:rsidRPr="00BF4B21" w:rsidRDefault="00BF4B21" w:rsidP="00BF4B21"/>
    <w:p w14:paraId="44609EEC" w14:textId="77777777" w:rsidR="00BF4B21" w:rsidRPr="00BF4B21" w:rsidRDefault="00BF4B21" w:rsidP="00BF4B21"/>
    <w:p w14:paraId="49BD9003" w14:textId="77777777" w:rsidR="00BF4B21" w:rsidRPr="00BF4B21" w:rsidRDefault="00BF4B21" w:rsidP="00BF4B21"/>
    <w:p w14:paraId="084AA4F3" w14:textId="77777777" w:rsidR="00BF4B21" w:rsidRPr="00BF4B21" w:rsidRDefault="00BF4B21" w:rsidP="00BF4B21"/>
    <w:p w14:paraId="2B4BC1F2" w14:textId="2698D248" w:rsidR="00BF4B21" w:rsidRPr="00BF4B21" w:rsidRDefault="00BF4B21" w:rsidP="00BF4B21">
      <w:pPr>
        <w:pStyle w:val="Heading2"/>
        <w:jc w:val="center"/>
      </w:pPr>
      <w:r w:rsidRPr="00BF4B21">
        <w:t>ABSTRACT</w:t>
      </w:r>
    </w:p>
    <w:p w14:paraId="145C337D" w14:textId="77777777" w:rsidR="00BF4B21" w:rsidRPr="00BF4B21" w:rsidRDefault="00BF4B21" w:rsidP="00BF4B21">
      <w:pPr>
        <w:rPr>
          <w:b/>
          <w:bCs/>
        </w:rPr>
      </w:pPr>
      <w:r w:rsidRPr="00BF4B21">
        <w:t>We examine partisan bias in the 2020 presidential election and compare it to partisan bias in the five other presidential elections in the 21</w:t>
      </w:r>
      <w:r w:rsidRPr="00BF4B21">
        <w:rPr>
          <w:vertAlign w:val="superscript"/>
        </w:rPr>
        <w:t>st</w:t>
      </w:r>
      <w:r w:rsidRPr="00BF4B21">
        <w:t xml:space="preserve"> century. We present the data in visual form using a newly developed graphical tool, a </w:t>
      </w:r>
      <w:r w:rsidRPr="00BF4B21">
        <w:rPr>
          <w:i/>
          <w:iCs/>
        </w:rPr>
        <w:t>folded seats-votes curve</w:t>
      </w:r>
      <w:r w:rsidRPr="00BF4B21">
        <w:t xml:space="preserve">. We show how 2020 and 2016 are extreme outliers with respect to the absolute magnitude level of partisan bias in the Electoral College each election displays. In 2016, 2020 and 2000 bias </w:t>
      </w:r>
      <w:proofErr w:type="gramStart"/>
      <w:r w:rsidRPr="00BF4B21">
        <w:t>runs</w:t>
      </w:r>
      <w:proofErr w:type="gramEnd"/>
      <w:r w:rsidRPr="00BF4B21">
        <w:t xml:space="preserve"> in a pro-Republican direction; in the other three elections in this century, the opposite is true. </w:t>
      </w:r>
      <w:r w:rsidRPr="00BF4B21">
        <w:rPr>
          <w:b/>
          <w:bCs/>
        </w:rPr>
        <w:t xml:space="preserve">JONATHAN IS THIS CORRECT? </w:t>
      </w:r>
      <w:r w:rsidRPr="00BF4B21">
        <w:t xml:space="preserve">We also show how the magnitude of our assessment of partisan bias can vary with where on the seats-vote curve we look to find bias; in particular, whether we look at a 50% vote share, or at the vote share actually observed in the election. In particular, we find the (two-party) vote share for the Democratic candidate that would yield no partisan bias in each of these six elections. </w:t>
      </w:r>
      <w:proofErr w:type="gramStart"/>
      <w:r w:rsidRPr="00BF4B21">
        <w:rPr>
          <w:b/>
          <w:bCs/>
        </w:rPr>
        <w:t>JONATHAN</w:t>
      </w:r>
      <w:proofErr w:type="gramEnd"/>
      <w:r w:rsidRPr="00BF4B21">
        <w:rPr>
          <w:b/>
          <w:bCs/>
        </w:rPr>
        <w:t xml:space="preserve"> PLEASE PROVIDE AS PART OF A TABLE IN THIS PAPER. </w:t>
      </w:r>
      <w:r w:rsidRPr="00BF4B21">
        <w:t xml:space="preserve">However, we also show that the direction of increase in bias with increasing vote share for a given party need not be monotonic. </w:t>
      </w:r>
    </w:p>
    <w:p w14:paraId="7352BBC1" w14:textId="13BC7D95" w:rsidR="00BF4B21" w:rsidRPr="00BF4B21" w:rsidRDefault="00BF4B21" w:rsidP="00BF4B21">
      <w:pPr>
        <w:rPr>
          <w:b/>
          <w:bCs/>
        </w:rPr>
      </w:pPr>
      <w:r w:rsidRPr="00BF4B21">
        <w:rPr>
          <w:b/>
          <w:bCs/>
        </w:rPr>
        <w:br w:type="page"/>
      </w:r>
      <w:r w:rsidRPr="00BF4B21">
        <w:t xml:space="preserve">The goals of this essay are two-fold. </w:t>
      </w:r>
    </w:p>
    <w:p w14:paraId="57A48111" w14:textId="41BEA2E8" w:rsidR="00BF4B21" w:rsidRPr="00BF4B21" w:rsidRDefault="00BF4B21" w:rsidP="00EF3376">
      <w:r w:rsidRPr="00BF4B21">
        <w:t xml:space="preserve">First, using a simple way to visualize seats-votes curves in the context of two-party politics, the </w:t>
      </w:r>
      <w:r w:rsidRPr="00BF4B21">
        <w:rPr>
          <w:i/>
          <w:iCs/>
        </w:rPr>
        <w:t>folded seats-votes curve</w:t>
      </w:r>
      <w:r w:rsidRPr="00BF4B21">
        <w:t xml:space="preserve"> (</w:t>
      </w:r>
      <w:r w:rsidRPr="00BF4B21">
        <w:rPr>
          <w:rStyle w:val="ReferenceTextChar"/>
          <w:lang w:bidi="ar-SA"/>
        </w:rPr>
        <w:t>Cervas, Grofman and Nagle, n</w:t>
      </w:r>
      <w:r w:rsidR="006A6F50">
        <w:rPr>
          <w:rStyle w:val="ReferenceTextChar"/>
          <w:lang w:bidi="ar-SA"/>
        </w:rPr>
        <w:t>.</w:t>
      </w:r>
      <w:r w:rsidRPr="00BF4B21">
        <w:rPr>
          <w:rStyle w:val="ReferenceTextChar"/>
          <w:lang w:bidi="ar-SA"/>
        </w:rPr>
        <w:t>d</w:t>
      </w:r>
      <w:r w:rsidR="006A6F50">
        <w:rPr>
          <w:rStyle w:val="ReferenceTextChar"/>
          <w:lang w:bidi="ar-SA"/>
        </w:rPr>
        <w:t>.</w:t>
      </w:r>
      <w:r w:rsidRPr="00BF4B21">
        <w:t>)</w:t>
      </w:r>
      <w:r w:rsidR="00B55B97">
        <w:t>,</w:t>
      </w:r>
      <w:r w:rsidRPr="00BF4B21">
        <w:t xml:space="preserve"> we show the level of </w:t>
      </w:r>
      <w:r w:rsidRPr="00BF4B21">
        <w:rPr>
          <w:i/>
          <w:iCs/>
        </w:rPr>
        <w:t>partisan bias</w:t>
      </w:r>
      <w:r w:rsidRPr="00BF4B21">
        <w:t xml:space="preserve"> (</w:t>
      </w:r>
      <w:r w:rsidRPr="00BF4B21">
        <w:rPr>
          <w:rStyle w:val="ReferenceTextChar"/>
          <w:lang w:bidi="ar-SA"/>
        </w:rPr>
        <w:t>Tufte, 1973</w:t>
      </w:r>
      <w:r w:rsidRPr="00BF4B21">
        <w:t xml:space="preserve">; </w:t>
      </w:r>
      <w:r w:rsidRPr="00BF4B21">
        <w:rPr>
          <w:rStyle w:val="ReferenceTextChar"/>
          <w:lang w:bidi="ar-SA"/>
        </w:rPr>
        <w:t>Grofman, 1983</w:t>
      </w:r>
      <w:r w:rsidRPr="00BF4B21">
        <w:t xml:space="preserve">; </w:t>
      </w:r>
      <w:r w:rsidRPr="00BF4B21">
        <w:rPr>
          <w:rStyle w:val="ReferenceTextChar"/>
          <w:lang w:bidi="ar-SA"/>
        </w:rPr>
        <w:t>Gelman and King, 1994</w:t>
      </w:r>
      <w:r w:rsidRPr="00BF4B21">
        <w:t xml:space="preserve">; </w:t>
      </w:r>
      <w:r w:rsidRPr="00BF4B21">
        <w:rPr>
          <w:rStyle w:val="ReferenceTextChar"/>
          <w:lang w:bidi="ar-SA"/>
        </w:rPr>
        <w:t>Grofman and King, 2007</w:t>
      </w:r>
      <w:r w:rsidRPr="00BF4B21">
        <w:t>) for each of the six presidential elections in the 21</w:t>
      </w:r>
      <w:r w:rsidRPr="00BF4B21">
        <w:rPr>
          <w:vertAlign w:val="superscript"/>
        </w:rPr>
        <w:t>st</w:t>
      </w:r>
      <w:r w:rsidRPr="00BF4B21">
        <w:t xml:space="preserve"> Century at a 50% vote share and at the actual vote share that was received by the Democratic candidate in the election. We also show the Democratic vote share needed to give a situation of zero partisan bias,</w:t>
      </w:r>
      <w:r w:rsidRPr="00EF3376">
        <w:rPr>
          <w:rStyle w:val="FootnoteReference"/>
        </w:rPr>
        <w:footnoteReference w:id="1"/>
      </w:r>
      <w:r w:rsidRPr="00BF4B21">
        <w:t xml:space="preserve"> and we show that partisan bias varies at different points on the seats-votes curve, and that change in </w:t>
      </w:r>
      <w:r w:rsidRPr="00BF4B21">
        <w:rPr>
          <w:i/>
          <w:iCs/>
        </w:rPr>
        <w:t>partisan bias</w:t>
      </w:r>
      <w:r w:rsidRPr="00BF4B21">
        <w:t xml:space="preserve"> need not be monotonic with change in Democratic vote share.</w:t>
      </w:r>
    </w:p>
    <w:p w14:paraId="3E96BAF1" w14:textId="1CEFBC9D" w:rsidR="00BF4B21" w:rsidRPr="00BF4B21" w:rsidRDefault="00BF4B21" w:rsidP="00BF4B21">
      <w:pPr>
        <w:rPr>
          <w:b/>
          <w:bCs/>
        </w:rPr>
      </w:pPr>
      <w:r w:rsidRPr="00BF4B21">
        <w:t xml:space="preserve"> Second, we compare the results in 2020 with those in earlier years to demonstrate that 2016 and 2020 were clear outliers in the extremity of the absolute magnitude of their partisan bias. We also show that partisan bias in the Electoral College operated in a pro-Republican direction only in 2000, 2016 and 2020.</w:t>
      </w:r>
    </w:p>
    <w:p w14:paraId="378E73E3" w14:textId="77777777" w:rsidR="00BF4B21" w:rsidRPr="00BF4B21" w:rsidRDefault="00BF4B21" w:rsidP="00BF4B21">
      <w:r w:rsidRPr="00BF4B21">
        <w:t xml:space="preserve">Like the usual seats-votes curve for a two-party contest, in a </w:t>
      </w:r>
      <w:r w:rsidRPr="00BF4B21">
        <w:rPr>
          <w:i/>
          <w:iCs/>
        </w:rPr>
        <w:t>folded seats-votes curve</w:t>
      </w:r>
      <w:r w:rsidRPr="00BF4B21">
        <w:t>, seat share is shown on the y axis and vote share on the x axis. However, for folded seats-votes curves, unlike the standard seats-votes curve which has values being shown for only one of the two parties (running from 0-100%, or for an included range such as 35% to 65%), a folded seats-votes curve, such as those shown in Figure 1, simultaneously shows values for each of the two parties over the range 50%-100%. In other words, we have arranged these plots so that both the Republican seats-votes curve and the Democratic seats-votes curve lay on the same axis. The reason we refer to this way of representing seats-votes relationship as a folded curve is because it takes the usual seats-vote cure and folds it on itself as if it were hinged at the 50% vote share.</w:t>
      </w:r>
    </w:p>
    <w:p w14:paraId="6F00981D" w14:textId="77777777" w:rsidR="00BF4B21" w:rsidRPr="00BF4B21" w:rsidRDefault="00BF4B21" w:rsidP="00BF4B21"/>
    <w:p w14:paraId="022A2083" w14:textId="3A325AAF" w:rsidR="00BF4B21" w:rsidRPr="006830DE" w:rsidRDefault="00BF4B21" w:rsidP="00D23467">
      <w:pPr>
        <w:rPr>
          <w:b/>
          <w:bCs/>
        </w:rPr>
      </w:pPr>
      <w:r w:rsidRPr="00BF4B21">
        <w:t>Figure 1 {#sv_plots} shows folded seats-votes curves generated stochastically for the set of six presidential elections held in the 21</w:t>
      </w:r>
      <w:r w:rsidRPr="00BF4B21">
        <w:rPr>
          <w:vertAlign w:val="superscript"/>
        </w:rPr>
        <w:t>st</w:t>
      </w:r>
      <w:r w:rsidRPr="00BF4B21">
        <w:t xml:space="preserve"> century</w:t>
      </w:r>
      <w:r w:rsidR="00E10ADB">
        <w:t>.</w:t>
      </w:r>
      <w:r w:rsidR="00E10ADB">
        <w:rPr>
          <w:rStyle w:val="FootnoteReference"/>
        </w:rPr>
        <w:footnoteReference w:id="2"/>
      </w:r>
      <w:r w:rsidR="00E10ADB" w:rsidRPr="00BF4B21">
        <w:t xml:space="preserve"> </w:t>
      </w:r>
      <w:r w:rsidRPr="00BF4B21">
        <w:t>As readers are well aware, two of these elections (2000 and 2016) were inversions, and the other four were not.</w:t>
      </w:r>
      <w:r w:rsidR="00EF3376">
        <w:rPr>
          <w:rStyle w:val="FootnoteReference"/>
        </w:rPr>
        <w:footnoteReference w:id="3"/>
      </w:r>
      <w:r w:rsidRPr="00BF4B21">
        <w:t xml:space="preserve"> For any given vote share</w:t>
      </w:r>
      <w:r w:rsidR="00104FAA">
        <w:t>,</w:t>
      </w:r>
      <w:r w:rsidRPr="00BF4B21">
        <w:t xml:space="preserve"> the gap between the </w:t>
      </w:r>
      <w:r w:rsidR="00104FAA">
        <w:rPr>
          <w:b/>
          <w:bCs/>
        </w:rPr>
        <w:t xml:space="preserve">seat-share </w:t>
      </w:r>
      <w:r w:rsidRPr="00BF4B21">
        <w:t>values at that</w:t>
      </w:r>
      <w:r w:rsidR="00104FAA">
        <w:t xml:space="preserve"> </w:t>
      </w:r>
      <w:r w:rsidR="00104FAA">
        <w:rPr>
          <w:b/>
          <w:bCs/>
        </w:rPr>
        <w:t>particular</w:t>
      </w:r>
      <w:r w:rsidRPr="00BF4B21">
        <w:t xml:space="preserve"> vote share for the two parties shows the asymmetry in the seats-votes distribution and may be used as a measure of partisan bias (and its directionality) at that point. Note most importantly that partisan bias need not be bias in favor of the winner of the election. A sufficiently strong vote performance can overcome an Electoral College bias against one’s party.</w:t>
      </w:r>
      <w:r w:rsidR="006830DE">
        <w:t xml:space="preserve"> </w:t>
      </w:r>
      <w:r w:rsidR="006830DE">
        <w:rPr>
          <w:b/>
          <w:bCs/>
        </w:rPr>
        <w:t>We note also that the expected seat share for either party is significantly different than what might be expected if votes were proportional to seats, a finding that is both expected (Tufte 1973) and the U.S. Supreme Court has acknowledged is not guaranteed in regards to any office.</w:t>
      </w:r>
      <w:r w:rsidR="00E65A0F">
        <w:rPr>
          <w:b/>
          <w:bCs/>
        </w:rPr>
        <w:t xml:space="preserve"> So, partisan bias is not measured as the difference from proportionality, but rather based on the asymmetry between the two lines either at the same seat share or vote share.</w:t>
      </w:r>
      <w:r w:rsidR="00904C1C">
        <w:rPr>
          <w:b/>
          <w:bCs/>
        </w:rPr>
        <w:t xml:space="preserve"> To facilitate a statistical test of significance, we show for each line 95% of all simulations; when there is overlap, we take that to mean that there is no bias since the outcomes are within the expected outcomes at any vote share.</w:t>
      </w:r>
    </w:p>
    <w:p w14:paraId="252E022E" w14:textId="77777777" w:rsidR="00BF4B21" w:rsidRPr="006A6F50" w:rsidRDefault="00BF4B21" w:rsidP="00D23467">
      <w:pPr>
        <w:jc w:val="center"/>
        <w:rPr>
          <w:b/>
          <w:bCs/>
        </w:rPr>
      </w:pPr>
      <w:r w:rsidRPr="006A6F50">
        <w:rPr>
          <w:b/>
          <w:bCs/>
        </w:rPr>
        <w:t>&lt;&lt; Figure 1 about here&gt;&gt;</w:t>
      </w:r>
    </w:p>
    <w:p w14:paraId="7559FDD0" w14:textId="51906653" w:rsidR="00BF4B21" w:rsidRPr="00BF4B21" w:rsidRDefault="00BF4B21" w:rsidP="00923D2D">
      <w:pPr>
        <w:rPr>
          <w:b/>
          <w:bCs/>
        </w:rPr>
      </w:pPr>
      <w:r w:rsidRPr="00BF4B21">
        <w:rPr>
          <w:b/>
          <w:bCs/>
        </w:rPr>
        <w:t>Figure 1 {#sv_plots}. Two-Party Folded Seats-Votes Curve:</w:t>
      </w:r>
      <w:r w:rsidR="00923D2D">
        <w:rPr>
          <w:b/>
          <w:bCs/>
        </w:rPr>
        <w:t xml:space="preserve"> </w:t>
      </w:r>
      <w:r w:rsidRPr="00BF4B21">
        <w:rPr>
          <w:b/>
          <w:bCs/>
        </w:rPr>
        <w:t>2000, 2004, 2008, 2012, 2016, 2020</w:t>
      </w:r>
    </w:p>
    <w:p w14:paraId="0957C00B" w14:textId="6F098D1A" w:rsidR="00BF4B21" w:rsidRPr="00BF4B21" w:rsidRDefault="00923D2D" w:rsidP="00923D2D">
      <w:pPr>
        <w:ind w:firstLine="0"/>
        <w:jc w:val="center"/>
      </w:pPr>
      <w:r w:rsidRPr="00923D2D">
        <w:rPr>
          <w:noProof/>
        </w:rPr>
        <w:drawing>
          <wp:inline distT="0" distB="0" distL="0" distR="0" wp14:anchorId="0D2D77DE" wp14:editId="39CC1ADC">
            <wp:extent cx="5943600" cy="6329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329045"/>
                    </a:xfrm>
                    <a:prstGeom prst="rect">
                      <a:avLst/>
                    </a:prstGeom>
                  </pic:spPr>
                </pic:pic>
              </a:graphicData>
            </a:graphic>
          </wp:inline>
        </w:drawing>
      </w:r>
      <w:r w:rsidRPr="00923D2D">
        <w:rPr>
          <w:noProof/>
        </w:rPr>
        <w:drawing>
          <wp:inline distT="0" distB="0" distL="0" distR="0" wp14:anchorId="0EC46AF6" wp14:editId="52E9EA0E">
            <wp:extent cx="5943600" cy="6329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329045"/>
                    </a:xfrm>
                    <a:prstGeom prst="rect">
                      <a:avLst/>
                    </a:prstGeom>
                  </pic:spPr>
                </pic:pic>
              </a:graphicData>
            </a:graphic>
          </wp:inline>
        </w:drawing>
      </w:r>
    </w:p>
    <w:p w14:paraId="5D482298" w14:textId="26C4E277" w:rsidR="00BF4B21" w:rsidRPr="00BF4B21" w:rsidRDefault="00923D2D" w:rsidP="00923D2D">
      <w:pPr>
        <w:ind w:firstLine="0"/>
        <w:jc w:val="center"/>
      </w:pPr>
      <w:r w:rsidRPr="00923D2D">
        <w:rPr>
          <w:noProof/>
        </w:rPr>
        <w:drawing>
          <wp:inline distT="0" distB="0" distL="0" distR="0" wp14:anchorId="6A30C2C6" wp14:editId="218AE945">
            <wp:extent cx="5943600" cy="6329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329045"/>
                    </a:xfrm>
                    <a:prstGeom prst="rect">
                      <a:avLst/>
                    </a:prstGeom>
                  </pic:spPr>
                </pic:pic>
              </a:graphicData>
            </a:graphic>
          </wp:inline>
        </w:drawing>
      </w:r>
    </w:p>
    <w:p w14:paraId="2A3FC2A5" w14:textId="5C771D4C" w:rsidR="00BF4B21" w:rsidRPr="00BF4B21" w:rsidRDefault="00923D2D" w:rsidP="00923D2D">
      <w:pPr>
        <w:ind w:firstLine="0"/>
        <w:jc w:val="center"/>
      </w:pPr>
      <w:r w:rsidRPr="00923D2D">
        <w:rPr>
          <w:b/>
          <w:bCs/>
          <w:noProof/>
        </w:rPr>
        <w:drawing>
          <wp:inline distT="0" distB="0" distL="0" distR="0" wp14:anchorId="2C1FFEB0" wp14:editId="530686B0">
            <wp:extent cx="5943600" cy="632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329045"/>
                    </a:xfrm>
                    <a:prstGeom prst="rect">
                      <a:avLst/>
                    </a:prstGeom>
                  </pic:spPr>
                </pic:pic>
              </a:graphicData>
            </a:graphic>
          </wp:inline>
        </w:drawing>
      </w:r>
      <w:r w:rsidRPr="00923D2D">
        <w:rPr>
          <w:noProof/>
        </w:rPr>
        <w:drawing>
          <wp:inline distT="0" distB="0" distL="0" distR="0" wp14:anchorId="2D962DDB" wp14:editId="1BC446B8">
            <wp:extent cx="5943600" cy="6329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329045"/>
                    </a:xfrm>
                    <a:prstGeom prst="rect">
                      <a:avLst/>
                    </a:prstGeom>
                  </pic:spPr>
                </pic:pic>
              </a:graphicData>
            </a:graphic>
          </wp:inline>
        </w:drawing>
      </w:r>
    </w:p>
    <w:p w14:paraId="2B327F2D" w14:textId="77777777" w:rsidR="00923D2D" w:rsidRDefault="00923D2D" w:rsidP="00923D2D">
      <w:pPr>
        <w:ind w:firstLine="0"/>
        <w:jc w:val="center"/>
      </w:pPr>
      <w:r w:rsidRPr="00923D2D">
        <w:rPr>
          <w:noProof/>
        </w:rPr>
        <w:drawing>
          <wp:inline distT="0" distB="0" distL="0" distR="0" wp14:anchorId="03EE4C90" wp14:editId="7F1BF817">
            <wp:extent cx="5943600" cy="6329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29045"/>
                    </a:xfrm>
                    <a:prstGeom prst="rect">
                      <a:avLst/>
                    </a:prstGeom>
                  </pic:spPr>
                </pic:pic>
              </a:graphicData>
            </a:graphic>
          </wp:inline>
        </w:drawing>
      </w:r>
    </w:p>
    <w:p w14:paraId="6B1AECF6" w14:textId="13E65E14" w:rsidR="00BF4B21" w:rsidRPr="00BF4B21" w:rsidRDefault="00923D2D" w:rsidP="00C01674">
      <w:r>
        <w:t xml:space="preserve">Note: Actual election result may not be within the 95% confidence interval, if the actual election is in the tails of the simulations for any particular vote-share. For instance, in 2016, very close states which were determinative of the election outcome made the actual Electoral victory for Trump unlikely, given the size of the popular vote for Clinton. Values on the x and y axes </w:t>
      </w:r>
      <w:r w:rsidRPr="00BF4B21">
        <w:t xml:space="preserve">shown for the range of likely feasible values: </w:t>
      </w:r>
      <w:r>
        <w:t>45</w:t>
      </w:r>
      <w:r w:rsidRPr="00BF4B21">
        <w:t>% to 6</w:t>
      </w:r>
      <w:r>
        <w:t>5% vote-share.</w:t>
      </w:r>
    </w:p>
    <w:p w14:paraId="6AFDDACB" w14:textId="31458A58" w:rsidR="00BF4B21" w:rsidRPr="00BF4B21" w:rsidRDefault="00BF4B21" w:rsidP="00904C1C">
      <w:r w:rsidRPr="00BF4B21">
        <w:rPr>
          <w:i/>
          <w:iCs/>
        </w:rPr>
        <w:t>Folded seats-votes curves</w:t>
      </w:r>
      <w:r w:rsidRPr="00BF4B21">
        <w:t xml:space="preserve"> are particular useful in visualizing how seats-votes relationship vary over the vote range.</w:t>
      </w:r>
      <w:r w:rsidRPr="00BF4B21">
        <w:rPr>
          <w:b/>
          <w:vertAlign w:val="superscript"/>
        </w:rPr>
        <w:footnoteReference w:id="4"/>
      </w:r>
      <w:r w:rsidRPr="00BF4B21">
        <w:t xml:space="preserve"> We can read out from the plots shown in </w:t>
      </w:r>
      <w:r w:rsidRPr="003452B1">
        <w:rPr>
          <w:rStyle w:val="ReferenceTextChar"/>
        </w:rPr>
        <w:t>Figure 1</w:t>
      </w:r>
      <w:r w:rsidRPr="00BF4B21">
        <w:t xml:space="preserve"> most of the features of interest. In particular, the figures allow to read out the partisan bias value at a 50% vote share and the partisan bias value at the actual vote share that was received by the Democratic candidate in the election, and they also allow us to quickly find the Democratic vote share </w:t>
      </w:r>
      <w:r w:rsidR="00904C1C">
        <w:rPr>
          <w:b/>
          <w:bCs/>
        </w:rPr>
        <w:t>values that result in</w:t>
      </w:r>
      <w:r w:rsidRPr="00BF4B21">
        <w:t xml:space="preserve"> zero partisan bias. The measure of partisan bias at a k% vote (seat) share is simply the seat difference between the two parties at that vote (seat) share. The sign tells us which party is being favored.</w:t>
      </w:r>
      <w:r w:rsidRPr="00BF4B21">
        <w:rPr>
          <w:b/>
          <w:vertAlign w:val="superscript"/>
        </w:rPr>
        <w:footnoteReference w:id="5"/>
      </w:r>
      <w:r w:rsidRPr="00BF4B21">
        <w:t xml:space="preserve"> And, because the </w:t>
      </w:r>
      <w:r w:rsidRPr="00BF4B21">
        <w:rPr>
          <w:i/>
          <w:iCs/>
        </w:rPr>
        <w:t>folded seats-votes curve</w:t>
      </w:r>
      <w:r w:rsidRPr="00BF4B21">
        <w:t xml:space="preserve"> we report are generated by a process with stochastic error, we can calculate confidence bounds around our various partisan bias estimates. We show </w:t>
      </w:r>
      <w:r w:rsidR="003452B1">
        <w:rPr>
          <w:b/>
          <w:bCs/>
        </w:rPr>
        <w:t xml:space="preserve">for each vote share </w:t>
      </w:r>
      <w:r w:rsidRPr="00BF4B21">
        <w:rPr>
          <w:b/>
          <w:bCs/>
        </w:rPr>
        <w:t>95%</w:t>
      </w:r>
      <w:r w:rsidRPr="00BF4B21">
        <w:t xml:space="preserve"> </w:t>
      </w:r>
      <w:r w:rsidR="003452B1">
        <w:rPr>
          <w:b/>
          <w:bCs/>
        </w:rPr>
        <w:t>of all simulated seat shares</w:t>
      </w:r>
      <w:r w:rsidRPr="00BF4B21">
        <w:t xml:space="preserve"> in the figures.</w:t>
      </w:r>
    </w:p>
    <w:p w14:paraId="79C5A26F" w14:textId="1359718F" w:rsidR="00BF4B21" w:rsidRPr="00BF4B21" w:rsidRDefault="00BF4B21" w:rsidP="00F01BA6">
      <w:r w:rsidRPr="00BF4B21">
        <w:t xml:space="preserve">What we also can see from </w:t>
      </w:r>
      <w:r w:rsidRPr="003452B1">
        <w:rPr>
          <w:rStyle w:val="ReferenceTextChar"/>
        </w:rPr>
        <w:t>Figure 1</w:t>
      </w:r>
      <w:r w:rsidRPr="00BF4B21">
        <w:t xml:space="preserve"> is that, even though there is a considerable resemblance between the seats-votes pattern in immediately adjacent presidential elections, the resemblance is far from perfect.</w:t>
      </w:r>
      <w:r w:rsidR="00F01BA6">
        <w:t xml:space="preserve"> </w:t>
      </w:r>
      <w:r w:rsidR="00F01BA6" w:rsidRPr="00B55B97">
        <w:t>When we go from one election to the next not only are there movements from less than voting age status to voting age status, in-migrations and out-migrations to any given state, as well as deaths and incapacitation that affect who is in the electorate, but the nature of the campaign (and the candidates) may lead to differences in the relative attractiveness of the Democratic and Republican candidates to various segments of the electorate—and this segmentation may be geographically linked in a fashion that alone is sufficient to generate differences in the state-specific distribution of two-party vote share from one election to the next even if aggregate level two-party vote shares do not change much or even at all.</w:t>
      </w:r>
      <w:r w:rsidRPr="00BF4B21">
        <w:rPr>
          <w:b/>
          <w:vertAlign w:val="superscript"/>
        </w:rPr>
        <w:footnoteReference w:id="6"/>
      </w:r>
      <w:r w:rsidRPr="00BF4B21">
        <w:t xml:space="preserve"> In particular, the absolute magnitude of the partisan bias levels in 2016 and 2020 are extraordinarily high as compared to the other four elections in the 21</w:t>
      </w:r>
      <w:r w:rsidRPr="00BF4B21">
        <w:rPr>
          <w:vertAlign w:val="superscript"/>
        </w:rPr>
        <w:t>st</w:t>
      </w:r>
      <w:r w:rsidRPr="00BF4B21">
        <w:t xml:space="preserve"> century, as shown by the large gap between the Republican and Democratic curves both at the 50% vote share and at the observed vote share in the actual election. Moreover, while in 2016 and 2020 bias tend to diminish as Democratic vote share increases, it takes a quite high Democratic vote share, 56% in 2016 and 57% in 2020, before we get to a level of zero pro-Republican bias. Furthermore, in 2016 once we go past a Democratic vote share of 56%, there is essentially no bias (perhaps a slight tilt to the Democrats) but then, once we get to vote share values near to 64%, bias again is a pro-Republican direction, but low; while in 2020, once we go past a vote share of 57%, there is again virtually no bias (perhaps a slight tilt to the Democrats) until we get to vote share of 60% or so. But at 60% we again begin to see non-trivial pro-Republican bias emerging.</w:t>
      </w:r>
    </w:p>
    <w:p w14:paraId="3CC88373" w14:textId="1BF6F940" w:rsidR="00BF4B21" w:rsidRPr="00BF4B21" w:rsidRDefault="00BF4B21" w:rsidP="00F01BA6">
      <w:r w:rsidRPr="00BF4B21">
        <w:t xml:space="preserve">The pattern in 2000 is quite different, though still exhibiting pro-Republican bias at 50% and at the actual Democratic vote share. In 2000, we see a virtually constant, but low, level of partisan bias across the entire Democratic vote share </w:t>
      </w:r>
      <w:proofErr w:type="gramStart"/>
      <w:r w:rsidRPr="00BF4B21">
        <w:t>range</w:t>
      </w:r>
      <w:proofErr w:type="gramEnd"/>
      <w:r w:rsidRPr="00BF4B21">
        <w:t xml:space="preserve"> from </w:t>
      </w:r>
      <w:r w:rsidR="00C01674">
        <w:t>45</w:t>
      </w:r>
      <w:r w:rsidRPr="00BF4B21">
        <w:t>% to 6</w:t>
      </w:r>
      <w:r w:rsidR="00C01674">
        <w:t>5</w:t>
      </w:r>
      <w:r w:rsidRPr="00BF4B21">
        <w:t>% so, no matter how high the Democratic two-party vote share, bias remains in a pro-Republican direction.</w:t>
      </w:r>
    </w:p>
    <w:p w14:paraId="6AC92168" w14:textId="21C66D8F" w:rsidR="00BF4B21" w:rsidRPr="00BF4B21" w:rsidRDefault="00BF4B21" w:rsidP="00F01BA6">
      <w:pPr>
        <w:rPr>
          <w:b/>
          <w:bCs/>
        </w:rPr>
      </w:pPr>
      <w:r w:rsidRPr="00BF4B21">
        <w:t>The pattern in the other three 21</w:t>
      </w:r>
      <w:r w:rsidRPr="00BF4B21">
        <w:rPr>
          <w:vertAlign w:val="superscript"/>
        </w:rPr>
        <w:t>st</w:t>
      </w:r>
      <w:r w:rsidRPr="00BF4B21">
        <w:t xml:space="preserve"> century elections are ones with pro-Democratic bias at 50% and at the actual Democratic two-party vote share, </w:t>
      </w:r>
      <w:r w:rsidRPr="00BF4B21">
        <w:rPr>
          <w:b/>
          <w:bCs/>
        </w:rPr>
        <w:t>JONATHAN, IS THIS CORRECT?</w:t>
      </w:r>
      <w:r w:rsidRPr="00BF4B21">
        <w:t xml:space="preserve"> but at far lower level of bias then is found in the pro-Republican direction in 2016 and 2020. In 2004, the pro-Democratic bias for low values of Democratic vote share reverses to become pro-Republican bias for Democratic vote shares above 54%. In 2008, </w:t>
      </w:r>
      <w:r w:rsidRPr="00BF4B21">
        <w:rPr>
          <w:b/>
          <w:bCs/>
        </w:rPr>
        <w:t>JONATHAN FILL IN</w:t>
      </w:r>
      <w:r w:rsidRPr="00BF4B21">
        <w:t xml:space="preserve">. In 2012, </w:t>
      </w:r>
      <w:r w:rsidRPr="00BF4B21">
        <w:rPr>
          <w:b/>
          <w:bCs/>
        </w:rPr>
        <w:t>JONATHAN FILL IN.</w:t>
      </w:r>
    </w:p>
    <w:p w14:paraId="4113765C" w14:textId="77777777" w:rsidR="00BF4B21" w:rsidRPr="00BF4B21" w:rsidRDefault="00BF4B21" w:rsidP="00BF4B21">
      <w:r w:rsidRPr="00BF4B21">
        <w:t>Table 1 summarizes some of the key pieces of information reported above.</w:t>
      </w:r>
      <w:r w:rsidRPr="00BF4B21">
        <w:rPr>
          <w:b/>
          <w:vertAlign w:val="superscript"/>
        </w:rPr>
        <w:footnoteReference w:id="7"/>
      </w:r>
    </w:p>
    <w:p w14:paraId="22B090B3" w14:textId="77777777" w:rsidR="00BF4B21" w:rsidRPr="00BF4B21" w:rsidRDefault="00BF4B21" w:rsidP="00BF4B21"/>
    <w:p w14:paraId="61CCA9CE" w14:textId="6973579C" w:rsidR="00F01BA6" w:rsidRPr="00F01BA6" w:rsidRDefault="00BF4B21" w:rsidP="00F01BA6">
      <w:pPr>
        <w:jc w:val="center"/>
        <w:rPr>
          <w:b/>
          <w:bCs/>
        </w:rPr>
      </w:pPr>
      <w:r w:rsidRPr="00F01BA6">
        <w:rPr>
          <w:b/>
          <w:bCs/>
        </w:rPr>
        <w:t>&lt;&lt; Table 1 about here&gt;&gt;</w:t>
      </w:r>
    </w:p>
    <w:p w14:paraId="6AABDE5E" w14:textId="5465D5EC" w:rsidR="00BF4B21" w:rsidRPr="00BF4B21" w:rsidRDefault="00BF4B21" w:rsidP="00BF4B21">
      <w:pPr>
        <w:rPr>
          <w:b/>
          <w:bCs/>
        </w:rPr>
      </w:pPr>
      <w:r w:rsidRPr="00BF4B21">
        <w:rPr>
          <w:b/>
          <w:bCs/>
        </w:rPr>
        <w:t>JONATHAN TO create-- showing for each year the Signed bias at 50%, the signed bias at the actual vote share, and the value at which the curve first exhibits zero bias.</w:t>
      </w:r>
    </w:p>
    <w:p w14:paraId="5E7EB6F4" w14:textId="77777777" w:rsidR="00BF4B21" w:rsidRPr="00BF4B21" w:rsidRDefault="00BF4B21" w:rsidP="00BF4B21"/>
    <w:p w14:paraId="3E3DA3AE" w14:textId="77777777" w:rsidR="00BF4B21" w:rsidRPr="00BF4B21" w:rsidRDefault="00BF4B21" w:rsidP="00BF4B21">
      <w:pPr>
        <w:rPr>
          <w:b/>
          <w:bCs/>
        </w:rPr>
      </w:pPr>
    </w:p>
    <w:p w14:paraId="5DBD1969" w14:textId="77777777" w:rsidR="00BF4B21" w:rsidRPr="00BF4B21" w:rsidRDefault="00BF4B21" w:rsidP="00BF4B21"/>
    <w:p w14:paraId="3A84AAC2" w14:textId="77777777" w:rsidR="00BF4B21" w:rsidRPr="00BF4B21" w:rsidRDefault="00BF4B21" w:rsidP="00BF4B21">
      <w:pPr>
        <w:rPr>
          <w:b/>
          <w:bCs/>
        </w:rPr>
      </w:pPr>
    </w:p>
    <w:p w14:paraId="0E97B79C" w14:textId="77777777" w:rsidR="00BF4B21" w:rsidRPr="00BF4B21" w:rsidRDefault="00BF4B21" w:rsidP="00BF4B21"/>
    <w:p w14:paraId="542881EA" w14:textId="5945E51C" w:rsidR="00BF4B21" w:rsidRPr="00BF4B21" w:rsidRDefault="00BF4B21" w:rsidP="00F01BA6">
      <w:r w:rsidRPr="00BF4B21">
        <w:t>REFERENCES</w:t>
      </w:r>
    </w:p>
    <w:p w14:paraId="13B34184" w14:textId="5E28415C" w:rsidR="00BF4B21" w:rsidRPr="008D2918" w:rsidRDefault="00BF4B21" w:rsidP="00172A95">
      <w:pPr>
        <w:ind w:left="720" w:hanging="720"/>
        <w:jc w:val="left"/>
      </w:pPr>
      <w:r w:rsidRPr="008D2918">
        <w:t xml:space="preserve">Cervas, Jonathan, Bernard Grofman, and John F. Nagle. </w:t>
      </w:r>
      <w:r w:rsidR="008D2918">
        <w:t>n.d</w:t>
      </w:r>
      <w:r w:rsidRPr="008D2918">
        <w:t>. A Simple Graphical Tool to Display seats-votes relationships. Unpublished manuscript, Carnegie-Mellon University.</w:t>
      </w:r>
    </w:p>
    <w:p w14:paraId="63685DC1" w14:textId="77777777" w:rsidR="008D2918" w:rsidRDefault="008D2918" w:rsidP="00172A95">
      <w:pPr>
        <w:ind w:left="720" w:hanging="720"/>
        <w:jc w:val="left"/>
        <w:rPr>
          <w:rFonts w:ascii="Times New Roman" w:hAnsi="Times New Roman"/>
        </w:rPr>
      </w:pPr>
      <w:r>
        <w:t xml:space="preserve">Gelman, Andrew, and Gary King. 1994. “A Unified Method of Evaluating Electoral Systems and Redistricting Plans.” </w:t>
      </w:r>
      <w:r>
        <w:rPr>
          <w:i/>
          <w:iCs/>
        </w:rPr>
        <w:t>American Journal of Political Science</w:t>
      </w:r>
      <w:r>
        <w:t xml:space="preserve"> 38(2): 514. https://www.jstor.org/stable/2111417?origin=crossref.</w:t>
      </w:r>
    </w:p>
    <w:p w14:paraId="6DBBDA7A" w14:textId="77777777" w:rsidR="008D2918" w:rsidRDefault="008D2918" w:rsidP="00172A95">
      <w:pPr>
        <w:ind w:left="720" w:hanging="720"/>
        <w:jc w:val="left"/>
        <w:rPr>
          <w:rFonts w:ascii="Times New Roman" w:hAnsi="Times New Roman"/>
        </w:rPr>
      </w:pPr>
      <w:r>
        <w:t xml:space="preserve">Grofman, Bernard. 1983. “Measures of Bias and Proportionality in Seats-Votes Relationships.” </w:t>
      </w:r>
      <w:r>
        <w:rPr>
          <w:i/>
          <w:iCs/>
        </w:rPr>
        <w:t>Political Methodology</w:t>
      </w:r>
      <w:r>
        <w:t xml:space="preserve"> 9(3): 295–327.</w:t>
      </w:r>
    </w:p>
    <w:p w14:paraId="775662B8" w14:textId="77777777" w:rsidR="008D2918" w:rsidRDefault="008D2918" w:rsidP="00172A95">
      <w:pPr>
        <w:ind w:left="720" w:hanging="720"/>
        <w:jc w:val="left"/>
        <w:rPr>
          <w:rFonts w:ascii="Times New Roman" w:hAnsi="Times New Roman"/>
        </w:rPr>
      </w:pPr>
      <w:r>
        <w:t xml:space="preserve">Grofman, Bernard, and Gary King. 2007. “The Future of Partisan Symmetry as a Judicial Test for Partisan Gerrymandering after LULAC v. Perry.” </w:t>
      </w:r>
      <w:r>
        <w:rPr>
          <w:i/>
          <w:iCs/>
        </w:rPr>
        <w:t>Election Law Journal</w:t>
      </w:r>
      <w:r>
        <w:t xml:space="preserve"> 6(1): 2–35. http://www.socsci.uci.edu/bgrof- (March 22, 2019).</w:t>
      </w:r>
    </w:p>
    <w:p w14:paraId="1B00B024" w14:textId="6E52BBAD" w:rsidR="008D2918" w:rsidRPr="008D2918" w:rsidRDefault="008D2918" w:rsidP="00172A95">
      <w:pPr>
        <w:ind w:left="720" w:hanging="720"/>
        <w:jc w:val="left"/>
      </w:pPr>
      <w:r w:rsidRPr="008D2918">
        <w:t xml:space="preserve">Lee, Frances E. 2016. </w:t>
      </w:r>
      <w:r w:rsidRPr="008D2918">
        <w:rPr>
          <w:i/>
          <w:iCs/>
        </w:rPr>
        <w:t>Insecure Majorities: Congress and the Perpetual Campaign</w:t>
      </w:r>
      <w:r w:rsidRPr="008D2918">
        <w:t>. Chicago: University of Chicago Press.</w:t>
      </w:r>
    </w:p>
    <w:p w14:paraId="51EE72F0" w14:textId="77777777" w:rsidR="008D2918" w:rsidRPr="008D2918" w:rsidRDefault="008D2918" w:rsidP="00172A95">
      <w:pPr>
        <w:ind w:left="720" w:hanging="720"/>
        <w:jc w:val="left"/>
      </w:pPr>
      <w:r w:rsidRPr="008D2918">
        <w:t xml:space="preserve">Nagle, John F., and Alec Ramsay. 2021. “On Measuring Two-Party Partisan Bias in Unbalanced States.” </w:t>
      </w:r>
      <w:r w:rsidRPr="008D2918">
        <w:rPr>
          <w:i/>
          <w:iCs/>
        </w:rPr>
        <w:t>Election Law Journal: Rules, Politics, and Policy</w:t>
      </w:r>
      <w:r w:rsidRPr="008D2918">
        <w:t xml:space="preserve"> 20(1): 116–38. https://www.liebertpub.com/doi/10.1089/elj.2020.0674.</w:t>
      </w:r>
    </w:p>
    <w:p w14:paraId="216FA403" w14:textId="77777777" w:rsidR="008D2918" w:rsidRDefault="008D2918" w:rsidP="00172A95">
      <w:pPr>
        <w:ind w:left="720" w:hanging="720"/>
        <w:jc w:val="left"/>
        <w:rPr>
          <w:rFonts w:ascii="Times New Roman" w:hAnsi="Times New Roman"/>
        </w:rPr>
      </w:pPr>
      <w:r>
        <w:t xml:space="preserve">Tufte, Edward R. 1973. “The Relationship between Seats and Votes in Two-Party Systems.” </w:t>
      </w:r>
      <w:r>
        <w:rPr>
          <w:i/>
          <w:iCs/>
        </w:rPr>
        <w:t>American Political Science Review</w:t>
      </w:r>
      <w:r>
        <w:t xml:space="preserve"> 67(2): 540–54. https://www.cambridge.org/core/product/identifier/S0003055400142418/type/journal_article.</w:t>
      </w:r>
    </w:p>
    <w:p w14:paraId="6950F418" w14:textId="2D012EDD" w:rsidR="002E4459" w:rsidRPr="008D2918" w:rsidRDefault="002E4459" w:rsidP="008D2918">
      <w:pPr>
        <w:ind w:left="720" w:hanging="720"/>
        <w:rPr>
          <w:b/>
          <w:bCs/>
        </w:rPr>
      </w:pPr>
    </w:p>
    <w:sectPr w:rsidR="002E4459" w:rsidRPr="008D29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704523" w14:textId="77777777" w:rsidR="00E8585B" w:rsidRDefault="00E8585B" w:rsidP="00BF4B21">
      <w:pPr>
        <w:spacing w:before="0" w:line="240" w:lineRule="auto"/>
      </w:pPr>
      <w:r>
        <w:separator/>
      </w:r>
    </w:p>
  </w:endnote>
  <w:endnote w:type="continuationSeparator" w:id="0">
    <w:p w14:paraId="183F140B" w14:textId="77777777" w:rsidR="00E8585B" w:rsidRDefault="00E8585B" w:rsidP="00BF4B2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E4527B6A-B702-224E-BC9F-477DFED91C67}"/>
  </w:font>
  <w:font w:name="Times New Roman">
    <w:panose1 w:val="02020603050405020304"/>
    <w:charset w:val="00"/>
    <w:family w:val="roman"/>
    <w:pitch w:val="variable"/>
    <w:sig w:usb0="E0002EFF" w:usb1="C000785B" w:usb2="00000009" w:usb3="00000000" w:csb0="000001FF" w:csb1="00000000"/>
    <w:embedRegular r:id="rId2" w:fontKey="{D7EE74F6-C8F0-9445-AC19-E6F818D5DB26}"/>
    <w:embedBold r:id="rId3" w:fontKey="{5D8D4AB6-44D0-E34B-BEDA-EB565B495E0E}"/>
    <w:embedItalic r:id="rId4" w:fontKey="{8988E554-FC7F-7349-BBFA-0B44215DDBA7}"/>
    <w:embedBoldItalic r:id="rId5" w:fontKey="{164D043D-1CCB-9143-B486-4EDCB08EFF27}"/>
  </w:font>
  <w:font w:name="Calibri">
    <w:panose1 w:val="020F0502020204030204"/>
    <w:charset w:val="00"/>
    <w:family w:val="swiss"/>
    <w:pitch w:val="variable"/>
    <w:sig w:usb0="E4002EFF" w:usb1="C000247B" w:usb2="00000009" w:usb3="00000000" w:csb0="000001FF" w:csb1="00000000"/>
    <w:embedRegular r:id="rId6" w:fontKey="{93337C72-B260-2845-AB5C-7D3EF5DA7C0F}"/>
    <w:embedBold r:id="rId7" w:fontKey="{568E3540-4B83-A948-9656-72578540D4A5}"/>
    <w:embedItalic r:id="rId8" w:fontKey="{7A0066CB-6045-644C-8DAB-358EC9D204CC}"/>
    <w:embedBoldItalic r:id="rId9" w:fontKey="{7BF2CFB4-821F-694F-A95A-1D2774A1CD66}"/>
  </w:font>
  <w:font w:name="Arial">
    <w:panose1 w:val="020B0604020202020204"/>
    <w:charset w:val="00"/>
    <w:family w:val="swiss"/>
    <w:pitch w:val="variable"/>
    <w:sig w:usb0="E0002AFF" w:usb1="C0007843" w:usb2="00000009" w:usb3="00000000" w:csb0="000001FF" w:csb1="00000000"/>
    <w:embedRegular r:id="rId10" w:fontKey="{119FBF6B-5034-DD40-AA3B-84AB6E1AC2C8}"/>
    <w:embedBold r:id="rId11" w:fontKey="{EC633BDB-1846-0643-81A1-BB0FC3C8D523}"/>
    <w:embedItalic r:id="rId12" w:fontKey="{5CE4BEF3-4DCF-4943-9AC8-3F83A20424BD}"/>
  </w:font>
  <w:font w:name="Open Sans">
    <w:altName w:val="﷽﷽﷽﷽﷽﷽﷽﷽s"/>
    <w:panose1 w:val="020B0604020202020204"/>
    <w:charset w:val="00"/>
    <w:family w:val="swiss"/>
    <w:pitch w:val="variable"/>
    <w:sig w:usb0="E00002EF" w:usb1="4000205B" w:usb2="00000028" w:usb3="00000000" w:csb0="0000019F" w:csb1="00000000"/>
    <w:embedRegular r:id="rId13" w:fontKey="{B5C1A7F3-7075-154C-A7B9-CBD8174E5333}"/>
    <w:embedItalic r:id="rId14" w:fontKey="{B95DE5AB-DB2D-2244-ADF5-2DE792916917}"/>
  </w:font>
  <w:font w:name="Open Sans SemiBold">
    <w:altName w:val="﷽﷽﷽﷽﷽﷽﷽﷽s SemiBold"/>
    <w:panose1 w:val="020B0706030804020204"/>
    <w:charset w:val="00"/>
    <w:family w:val="swiss"/>
    <w:pitch w:val="variable"/>
    <w:sig w:usb0="E00002EF" w:usb1="4000205B" w:usb2="00000028" w:usb3="00000000" w:csb0="0000019F" w:csb1="00000000"/>
    <w:embedBold r:id="rId15" w:fontKey="{2217720D-F86D-FA45-BFEC-7029D3D6A1CC}"/>
    <w:embedBoldItalic r:id="rId16" w:fontKey="{ACA02606-74C2-5942-8448-BE385A3EBC0A}"/>
  </w:font>
  <w:font w:name="Avenir Book">
    <w:altName w:val="﷽﷽﷽﷽﷽﷽﷽﷽ook"/>
    <w:panose1 w:val="02000503020000020003"/>
    <w:charset w:val="00"/>
    <w:family w:val="auto"/>
    <w:pitch w:val="variable"/>
    <w:sig w:usb0="800000AF" w:usb1="5000204A" w:usb2="00000000" w:usb3="00000000" w:csb0="0000009B" w:csb1="00000000"/>
    <w:embedBold r:id="rId17" w:fontKey="{3EFCE815-3656-134D-855B-F89B2D605BB9}"/>
    <w:embedItalic r:id="rId18" w:fontKey="{98F49D9E-A7C5-D244-887B-7550E29065AD}"/>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embedRegular r:id="rId22" w:fontKey="{F78B7D7E-12B2-7346-B7D0-9CAF8E3D5B92}"/>
    <w:embedItalic r:id="rId23" w:fontKey="{337B0E23-A38C-0C43-A218-7C61DEE3047F}"/>
  </w:font>
  <w:font w:name="Arial Black">
    <w:panose1 w:val="020B0A04020102020204"/>
    <w:charset w:val="00"/>
    <w:family w:val="swiss"/>
    <w:pitch w:val="variable"/>
    <w:sig w:usb0="A00002AF" w:usb1="400078FB" w:usb2="00000000" w:usb3="00000000" w:csb0="0000009F" w:csb1="00000000"/>
    <w:embedBold r:id="rId24" w:fontKey="{22F833F6-99FA-F040-BF94-C5F199D88C5D}"/>
  </w:font>
  <w:font w:name="Calibri Light">
    <w:panose1 w:val="020F0302020204030204"/>
    <w:charset w:val="00"/>
    <w:family w:val="swiss"/>
    <w:pitch w:val="variable"/>
    <w:sig w:usb0="E0002AFF" w:usb1="C000247B" w:usb2="00000009" w:usb3="00000000" w:csb0="000001FF" w:csb1="00000000"/>
    <w:embedRegular r:id="rId25" w:fontKey="{AB2C6FA5-F07E-7845-9FE8-8380512EBB0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4D0F88" w14:textId="77777777" w:rsidR="00E8585B" w:rsidRDefault="00E8585B" w:rsidP="00BF4B21">
      <w:pPr>
        <w:spacing w:before="0" w:line="240" w:lineRule="auto"/>
      </w:pPr>
      <w:r>
        <w:separator/>
      </w:r>
    </w:p>
  </w:footnote>
  <w:footnote w:type="continuationSeparator" w:id="0">
    <w:p w14:paraId="72F147DF" w14:textId="77777777" w:rsidR="00E8585B" w:rsidRDefault="00E8585B" w:rsidP="00BF4B21">
      <w:pPr>
        <w:spacing w:before="0" w:line="240" w:lineRule="auto"/>
      </w:pPr>
      <w:r>
        <w:continuationSeparator/>
      </w:r>
    </w:p>
  </w:footnote>
  <w:footnote w:id="1">
    <w:p w14:paraId="0FB1DAF3" w14:textId="00B926F2" w:rsidR="00BF4B21" w:rsidRPr="00B55B97" w:rsidRDefault="00BF4B21" w:rsidP="00EF3376">
      <w:pPr>
        <w:pStyle w:val="FootnoteText"/>
        <w:rPr>
          <w:b/>
          <w:bCs/>
          <w:color w:val="FF0000"/>
        </w:rPr>
      </w:pPr>
      <w:r w:rsidRPr="00B55B97">
        <w:rPr>
          <w:rStyle w:val="FootnoteReference"/>
          <w:rFonts w:cs="Arial"/>
          <w:sz w:val="16"/>
          <w:szCs w:val="16"/>
        </w:rPr>
        <w:footnoteRef/>
      </w:r>
      <w:r w:rsidRPr="00B55B97">
        <w:t xml:space="preserve"> </w:t>
      </w:r>
      <w:r w:rsidR="00E10ADB">
        <w:tab/>
      </w:r>
      <w:r w:rsidRPr="00B55B97">
        <w:t xml:space="preserve">The folded seats-votes curve was inspired by the measure of </w:t>
      </w:r>
      <w:r w:rsidRPr="00B55B97">
        <w:rPr>
          <w:i/>
          <w:iCs/>
        </w:rPr>
        <w:t>global symmetry</w:t>
      </w:r>
      <w:r w:rsidRPr="00B55B97">
        <w:t xml:space="preserve"> in Nagle and </w:t>
      </w:r>
      <w:r w:rsidR="00B55B97" w:rsidRPr="00B55B97">
        <w:t>Ramsay</w:t>
      </w:r>
      <w:r w:rsidRPr="00B55B97">
        <w:t xml:space="preserve"> (202</w:t>
      </w:r>
      <w:r w:rsidR="008D2918">
        <w:t>1</w:t>
      </w:r>
      <w:r w:rsidRPr="00B55B97">
        <w:t xml:space="preserve">). That measure looks at total area between the two curves shown in each of the subfigures in Figure 1. Thus, in effect, it calculates </w:t>
      </w:r>
      <w:r w:rsidRPr="00B55B97">
        <w:rPr>
          <w:i/>
          <w:iCs/>
        </w:rPr>
        <w:t>global symmetry</w:t>
      </w:r>
      <w:r w:rsidRPr="00B55B97">
        <w:t xml:space="preserve"> as if all vote share values were equally likely. More recent work allows for a non-uniform distribution over those seat share values based on stochastic expectations derived from the past history of election popular vote outcomes and inter-election shifts (</w:t>
      </w:r>
      <w:r w:rsidRPr="00B55B97">
        <w:rPr>
          <w:lang w:bidi="th-TH"/>
        </w:rPr>
        <w:t xml:space="preserve">Cervas, Grofman and Nagle, </w:t>
      </w:r>
      <w:proofErr w:type="spellStart"/>
      <w:r w:rsidR="00B55B97">
        <w:rPr>
          <w:lang w:bidi="th-TH"/>
        </w:rPr>
        <w:t>nd</w:t>
      </w:r>
      <w:proofErr w:type="spellEnd"/>
      <w:r w:rsidRPr="00B55B97">
        <w:rPr>
          <w:lang w:bidi="th-TH"/>
        </w:rPr>
        <w:t>)</w:t>
      </w:r>
      <w:r w:rsidRPr="00B55B97">
        <w:t>.</w:t>
      </w:r>
    </w:p>
  </w:footnote>
  <w:footnote w:id="2">
    <w:p w14:paraId="60B033CC" w14:textId="46A8A9FB" w:rsidR="00E10ADB" w:rsidRPr="00E10ADB" w:rsidRDefault="00E10ADB">
      <w:pPr>
        <w:pStyle w:val="FootnoteText"/>
        <w:rPr>
          <w:b/>
          <w:bCs/>
        </w:rPr>
      </w:pPr>
      <w:r>
        <w:rPr>
          <w:rStyle w:val="FootnoteReference"/>
        </w:rPr>
        <w:footnoteRef/>
      </w:r>
      <w:r>
        <w:t xml:space="preserve"> </w:t>
      </w:r>
      <w:r>
        <w:tab/>
      </w:r>
      <w:r w:rsidRPr="00E10ADB">
        <w:t xml:space="preserve">Following Gelman and King (1994), our simulation assumes uniform swing with stochastic error. </w:t>
      </w:r>
      <w:r w:rsidRPr="00E10ADB">
        <w:rPr>
          <w:b/>
          <w:bCs/>
        </w:rPr>
        <w:t>We used an average of the previous three election inter-election swing (the residual error of a regression predicting the results of the current election based on the previous election) as noise and the actual election result in each state as the mean. We ran 301,000 simulations per election to arrive at our smoothed curves.</w:t>
      </w:r>
    </w:p>
  </w:footnote>
  <w:footnote w:id="3">
    <w:p w14:paraId="14DEF327" w14:textId="0331F61E" w:rsidR="00EF3376" w:rsidRPr="00EF3376" w:rsidRDefault="00EF3376" w:rsidP="00EF3376">
      <w:pPr>
        <w:pStyle w:val="FootnoteText"/>
        <w:rPr>
          <w:b/>
          <w:bCs/>
        </w:rPr>
      </w:pPr>
      <w:r>
        <w:rPr>
          <w:rStyle w:val="FootnoteReference"/>
        </w:rPr>
        <w:footnoteRef/>
      </w:r>
      <w:r>
        <w:t xml:space="preserve"> </w:t>
      </w:r>
      <w:r>
        <w:tab/>
      </w:r>
      <w:r>
        <w:rPr>
          <w:b/>
          <w:bCs/>
        </w:rPr>
        <w:t>For readers unaware of the term inversion, an inversion is when the candidate who wins the most overall votes fails to win electorally.</w:t>
      </w:r>
    </w:p>
  </w:footnote>
  <w:footnote w:id="4">
    <w:p w14:paraId="5D118DA4" w14:textId="76A90745" w:rsidR="00BF4B21" w:rsidRPr="00B55B97" w:rsidRDefault="00BF4B21" w:rsidP="00F01BA6">
      <w:pPr>
        <w:pStyle w:val="FootnoteText"/>
      </w:pPr>
      <w:r w:rsidRPr="00B55B97">
        <w:rPr>
          <w:rStyle w:val="FootnoteReference"/>
          <w:rFonts w:cs="Arial"/>
          <w:sz w:val="16"/>
          <w:szCs w:val="16"/>
        </w:rPr>
        <w:footnoteRef/>
      </w:r>
      <w:r w:rsidRPr="00B55B97">
        <w:t xml:space="preserve"> </w:t>
      </w:r>
      <w:r w:rsidR="00F01BA6">
        <w:tab/>
      </w:r>
      <w:r w:rsidRPr="00B55B97">
        <w:t xml:space="preserve">Also, in looking at a </w:t>
      </w:r>
      <w:r w:rsidRPr="00B55B97">
        <w:rPr>
          <w:i/>
          <w:iCs/>
        </w:rPr>
        <w:t>folded seats votes curve</w:t>
      </w:r>
      <w:r w:rsidRPr="00B55B97">
        <w:t xml:space="preserve"> we are effectively subtracting away the effects of responsiveness (if we assume it to be the same for both parties for any given vote share) and are left with a pure measure of bias. </w:t>
      </w:r>
      <w:r w:rsidR="00F01BA6">
        <w:rPr>
          <w:b/>
          <w:bCs/>
          <w:color w:val="C00000"/>
        </w:rPr>
        <w:t>I DON’T THINK THIS IS RIGHT--- THE SLOPE IS STILL THE REPSONSIVENESS, WHETHER IT BE MEASURES ACROSS A SHORT RANGE OF VOTE (ADDING ONE PERCENTAGE POINT OF VOTE NETS X PERCENTAGE POINTS OF SEATS) OR OVER THE ENTIRE CURVE (SAY, USING REGRESSION).</w:t>
      </w:r>
    </w:p>
  </w:footnote>
  <w:footnote w:id="5">
    <w:p w14:paraId="0573C3CB" w14:textId="3F9EE8AE" w:rsidR="00BF4B21" w:rsidRPr="00B55B97" w:rsidRDefault="00BF4B21" w:rsidP="00EF3376">
      <w:pPr>
        <w:pStyle w:val="FootnoteText"/>
      </w:pPr>
      <w:r w:rsidRPr="00B55B97">
        <w:rPr>
          <w:rStyle w:val="FootnoteReference"/>
          <w:rFonts w:cs="Arial"/>
          <w:sz w:val="16"/>
          <w:szCs w:val="16"/>
        </w:rPr>
        <w:footnoteRef/>
      </w:r>
      <w:r w:rsidRPr="00B55B97">
        <w:t xml:space="preserve"> </w:t>
      </w:r>
      <w:r w:rsidR="00F01BA6">
        <w:tab/>
      </w:r>
      <w:r w:rsidRPr="00B55B97">
        <w:t>By, assuming a uniform distribution of vote over some given range of vote share values, we could also find the mean partisan bias over that range as the area between the Democratic and Republican curves.</w:t>
      </w:r>
    </w:p>
  </w:footnote>
  <w:footnote w:id="6">
    <w:p w14:paraId="452AF5D9" w14:textId="35002BB0" w:rsidR="00BF4B21" w:rsidRPr="00B55B97" w:rsidRDefault="00BF4B21" w:rsidP="00EF3376">
      <w:pPr>
        <w:pStyle w:val="FootnoteText"/>
        <w:rPr>
          <w:b/>
          <w:bCs/>
          <w:color w:val="FF0000"/>
        </w:rPr>
      </w:pPr>
      <w:r w:rsidRPr="00B55B97">
        <w:rPr>
          <w:rStyle w:val="FootnoteReference"/>
          <w:rFonts w:cs="Arial"/>
          <w:sz w:val="16"/>
          <w:szCs w:val="16"/>
        </w:rPr>
        <w:footnoteRef/>
      </w:r>
      <w:r w:rsidRPr="00B55B97">
        <w:t xml:space="preserve"> </w:t>
      </w:r>
      <w:r w:rsidR="00F01BA6">
        <w:tab/>
      </w:r>
      <w:r w:rsidRPr="00B55B97">
        <w:t>Indeed, the presidential elections in the 21</w:t>
      </w:r>
      <w:r w:rsidRPr="00B55B97">
        <w:rPr>
          <w:vertAlign w:val="superscript"/>
        </w:rPr>
        <w:t>st</w:t>
      </w:r>
      <w:r w:rsidRPr="00B55B97">
        <w:t xml:space="preserve"> century are all remarkably similar to one another in terms of Democratic candidate share of the popular vote, since all are among the most competitive in our nation’s history. We would need to go back to the elections between 1876 and 1888 to find comparable competitiveness levels</w:t>
      </w:r>
      <w:r w:rsidR="008D2918">
        <w:t xml:space="preserve"> (Lee 2016)</w:t>
      </w:r>
      <w:r w:rsidRPr="00B55B97">
        <w:t>.</w:t>
      </w:r>
    </w:p>
    <w:p w14:paraId="1C265B07" w14:textId="77777777" w:rsidR="00BF4B21" w:rsidRPr="00B55B97" w:rsidRDefault="00BF4B21" w:rsidP="00EF3376">
      <w:pPr>
        <w:pStyle w:val="FootnoteText"/>
      </w:pPr>
    </w:p>
  </w:footnote>
  <w:footnote w:id="7">
    <w:p w14:paraId="067EE32E" w14:textId="77777777" w:rsidR="00BF4B21" w:rsidRPr="00B55B97" w:rsidRDefault="00BF4B21" w:rsidP="00EF3376">
      <w:pPr>
        <w:pStyle w:val="FootnoteText"/>
      </w:pPr>
      <w:r w:rsidRPr="00B55B97">
        <w:rPr>
          <w:rStyle w:val="FootnoteReference"/>
          <w:rFonts w:cs="Arial"/>
          <w:sz w:val="16"/>
          <w:szCs w:val="16"/>
        </w:rPr>
        <w:footnoteRef/>
      </w:r>
      <w:r w:rsidRPr="00B55B97">
        <w:t xml:space="preserve"> The question of which of the 21</w:t>
      </w:r>
      <w:r w:rsidRPr="00B55B97">
        <w:rPr>
          <w:vertAlign w:val="superscript"/>
        </w:rPr>
        <w:t>st</w:t>
      </w:r>
      <w:r w:rsidRPr="00B55B97">
        <w:t xml:space="preserve"> century elections the election of 2024 is most likely to resemble is beyond the scope of this short comment, but it is a question which the authors are currently investigating.</w:t>
      </w:r>
    </w:p>
    <w:p w14:paraId="4CDE01B3" w14:textId="77777777" w:rsidR="00BF4B21" w:rsidRPr="00B55B97" w:rsidRDefault="00BF4B21" w:rsidP="00EF3376">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924B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E3E7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FD8DF9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4D80BE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2D8BE8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1387F2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268F2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57A79C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AB0A1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B034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C5BC47CE"/>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2"/>
  </w:num>
  <w:num w:numId="3">
    <w:abstractNumId w:val="12"/>
  </w:num>
  <w:num w:numId="4">
    <w:abstractNumId w:val="11"/>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0"/>
  </w:num>
  <w:num w:numId="16">
    <w:abstractNumId w:val="13"/>
  </w:num>
  <w:num w:numId="17">
    <w:abstractNumId w:val="10"/>
  </w:num>
  <w:num w:numId="18">
    <w:abstractNumId w:val="10"/>
  </w:num>
  <w:num w:numId="19">
    <w:abstractNumId w:val="10"/>
  </w:num>
  <w:num w:numId="20">
    <w:abstractNumId w:val="10"/>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B21"/>
    <w:rsid w:val="000767AB"/>
    <w:rsid w:val="0009659A"/>
    <w:rsid w:val="000F3CEE"/>
    <w:rsid w:val="00104FAA"/>
    <w:rsid w:val="00172A95"/>
    <w:rsid w:val="001B22B3"/>
    <w:rsid w:val="001C3082"/>
    <w:rsid w:val="00263988"/>
    <w:rsid w:val="002E4459"/>
    <w:rsid w:val="003061E3"/>
    <w:rsid w:val="003452B1"/>
    <w:rsid w:val="0035041F"/>
    <w:rsid w:val="003B0615"/>
    <w:rsid w:val="00406B25"/>
    <w:rsid w:val="004F0E43"/>
    <w:rsid w:val="00506F57"/>
    <w:rsid w:val="00594272"/>
    <w:rsid w:val="006830DE"/>
    <w:rsid w:val="006A6F50"/>
    <w:rsid w:val="007D18A5"/>
    <w:rsid w:val="008D2918"/>
    <w:rsid w:val="00904C1C"/>
    <w:rsid w:val="00910787"/>
    <w:rsid w:val="00914E49"/>
    <w:rsid w:val="00917EE2"/>
    <w:rsid w:val="00923D2D"/>
    <w:rsid w:val="009C2831"/>
    <w:rsid w:val="00A04063"/>
    <w:rsid w:val="00A605FF"/>
    <w:rsid w:val="00A76C5D"/>
    <w:rsid w:val="00A8637F"/>
    <w:rsid w:val="00AB6378"/>
    <w:rsid w:val="00B017E0"/>
    <w:rsid w:val="00B06F6B"/>
    <w:rsid w:val="00B55B97"/>
    <w:rsid w:val="00BF4B21"/>
    <w:rsid w:val="00C01674"/>
    <w:rsid w:val="00D11DE4"/>
    <w:rsid w:val="00D23467"/>
    <w:rsid w:val="00DA0416"/>
    <w:rsid w:val="00DA2084"/>
    <w:rsid w:val="00DD61EF"/>
    <w:rsid w:val="00E10ADB"/>
    <w:rsid w:val="00E65A0F"/>
    <w:rsid w:val="00E8585B"/>
    <w:rsid w:val="00EC0A00"/>
    <w:rsid w:val="00EF3376"/>
    <w:rsid w:val="00F01BA6"/>
    <w:rsid w:val="00F61009"/>
    <w:rsid w:val="00FE7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8194B2"/>
  <w15:docId w15:val="{54C53DB7-E1CE-0445-AC58-FACFB5F8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D61EF"/>
    <w:pPr>
      <w:spacing w:before="240" w:line="480" w:lineRule="auto"/>
      <w:ind w:firstLine="720"/>
      <w:jc w:val="both"/>
    </w:pPr>
    <w:rPr>
      <w:rFonts w:ascii="Arial" w:eastAsia="Times New Roman" w:hAnsi="Arial" w:cs="Times New Roman"/>
      <w:sz w:val="20"/>
    </w:rPr>
  </w:style>
  <w:style w:type="paragraph" w:styleId="Heading1">
    <w:name w:val="heading 1"/>
    <w:basedOn w:val="Normal"/>
    <w:next w:val="Normal"/>
    <w:link w:val="Heading1Char"/>
    <w:uiPriority w:val="9"/>
    <w:qFormat/>
    <w:rsid w:val="00A605FF"/>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605FF"/>
    <w:pPr>
      <w:keepNext/>
      <w:keepLines/>
      <w:spacing w:before="40" w:line="259" w:lineRule="auto"/>
      <w:ind w:firstLine="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605F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605F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A0416"/>
    <w:pPr>
      <w:ind w:firstLine="0"/>
    </w:pPr>
    <w:rPr>
      <w:rFonts w:cs="Times New Roman (Body CS)"/>
      <w:sz w:val="16"/>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A605FF"/>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605FF"/>
    <w:rPr>
      <w:rFonts w:ascii="Arial" w:eastAsiaTheme="majorEastAsia" w:hAnsi="Arial" w:cstheme="majorBidi"/>
      <w:b/>
      <w:color w:val="000000" w:themeColor="text1"/>
      <w:sz w:val="26"/>
      <w:szCs w:val="26"/>
    </w:rPr>
  </w:style>
  <w:style w:type="paragraph" w:styleId="Title">
    <w:name w:val="Title"/>
    <w:basedOn w:val="Normal"/>
    <w:next w:val="Normal"/>
    <w:link w:val="TitleChar"/>
    <w:uiPriority w:val="10"/>
    <w:qFormat/>
    <w:rsid w:val="00B55B97"/>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B55B97"/>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EF3376"/>
    <w:rPr>
      <w:rFonts w:ascii="Arial" w:hAnsi="Arial"/>
      <w:b/>
      <w:i w:val="0"/>
      <w:color w:val="1F3864" w:themeColor="accent1" w:themeShade="80"/>
      <w:sz w:val="20"/>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basedOn w:val="Normal"/>
    <w:link w:val="FootnoteTextChar"/>
    <w:uiPriority w:val="99"/>
    <w:unhideWhenUsed/>
    <w:qFormat/>
    <w:rsid w:val="00DA0416"/>
    <w:pPr>
      <w:tabs>
        <w:tab w:val="left" w:pos="360"/>
      </w:tabs>
      <w:spacing w:after="240" w:line="300" w:lineRule="auto"/>
      <w:ind w:left="360" w:hanging="360"/>
    </w:pPr>
    <w:rPr>
      <w:rFonts w:cstheme="minorBidi"/>
      <w:sz w:val="16"/>
    </w:rPr>
  </w:style>
  <w:style w:type="character" w:customStyle="1" w:styleId="FootnoteTextChar">
    <w:name w:val="Footnote Text Char"/>
    <w:basedOn w:val="DefaultParagraphFont"/>
    <w:link w:val="FootnoteText"/>
    <w:uiPriority w:val="99"/>
    <w:rsid w:val="00DA0416"/>
    <w:rPr>
      <w:rFonts w:ascii="Open Sans Light" w:eastAsiaTheme="minorEastAsia" w:hAnsi="Open Sans Light"/>
      <w:sz w:val="16"/>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A605F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A605F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DD61EF"/>
    <w:pPr>
      <w:shd w:val="clear" w:color="auto" w:fill="BFBFBF" w:themeFill="background1" w:themeFillShade="BF"/>
      <w:jc w:val="center"/>
    </w:pPr>
    <w:rPr>
      <w:rFonts w:ascii="Arial" w:hAnsi="Arial"/>
      <w:b/>
      <w:sz w:val="16"/>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DD61EF"/>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DD61EF"/>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BF4B21"/>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F4B21"/>
    <w:rPr>
      <w:rFonts w:ascii="Arial" w:eastAsiaTheme="minorEastAsia" w:hAnsi="Arial"/>
      <w:color w:val="5A5A5A" w:themeColor="text1" w:themeTint="A5"/>
      <w:spacing w:val="15"/>
      <w:sz w:val="22"/>
      <w:szCs w:val="22"/>
    </w:rPr>
  </w:style>
  <w:style w:type="character" w:styleId="SubtleEmphasis">
    <w:name w:val="Subtle Emphasis"/>
    <w:basedOn w:val="DefaultParagraphFont"/>
    <w:uiPriority w:val="19"/>
    <w:qFormat/>
    <w:rsid w:val="00BF4B21"/>
    <w:rPr>
      <w:i/>
      <w:iCs/>
      <w:color w:val="404040" w:themeColor="text1" w:themeTint="BF"/>
    </w:rPr>
  </w:style>
  <w:style w:type="paragraph" w:styleId="NormalWeb">
    <w:name w:val="Normal (Web)"/>
    <w:basedOn w:val="Normal"/>
    <w:uiPriority w:val="99"/>
    <w:unhideWhenUsed/>
    <w:rsid w:val="008D2918"/>
    <w:pPr>
      <w:spacing w:before="100" w:beforeAutospacing="1" w:after="100" w:afterAutospacing="1" w:line="240" w:lineRule="auto"/>
      <w:ind w:firstLine="0"/>
      <w:jc w:val="left"/>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84724">
      <w:bodyDiv w:val="1"/>
      <w:marLeft w:val="0"/>
      <w:marRight w:val="0"/>
      <w:marTop w:val="0"/>
      <w:marBottom w:val="0"/>
      <w:divBdr>
        <w:top w:val="none" w:sz="0" w:space="0" w:color="auto"/>
        <w:left w:val="none" w:sz="0" w:space="0" w:color="auto"/>
        <w:bottom w:val="none" w:sz="0" w:space="0" w:color="auto"/>
        <w:right w:val="none" w:sz="0" w:space="0" w:color="auto"/>
      </w:divBdr>
    </w:div>
    <w:div w:id="944267239">
      <w:bodyDiv w:val="1"/>
      <w:marLeft w:val="0"/>
      <w:marRight w:val="0"/>
      <w:marTop w:val="0"/>
      <w:marBottom w:val="0"/>
      <w:divBdr>
        <w:top w:val="none" w:sz="0" w:space="0" w:color="auto"/>
        <w:left w:val="none" w:sz="0" w:space="0" w:color="auto"/>
        <w:bottom w:val="none" w:sz="0" w:space="0" w:color="auto"/>
        <w:right w:val="none" w:sz="0" w:space="0" w:color="auto"/>
      </w:divBdr>
    </w:div>
    <w:div w:id="951133184">
      <w:bodyDiv w:val="1"/>
      <w:marLeft w:val="0"/>
      <w:marRight w:val="0"/>
      <w:marTop w:val="0"/>
      <w:marBottom w:val="0"/>
      <w:divBdr>
        <w:top w:val="none" w:sz="0" w:space="0" w:color="auto"/>
        <w:left w:val="none" w:sz="0" w:space="0" w:color="auto"/>
        <w:bottom w:val="none" w:sz="0" w:space="0" w:color="auto"/>
        <w:right w:val="none" w:sz="0" w:space="0" w:color="auto"/>
      </w:divBdr>
    </w:div>
    <w:div w:id="1199050282">
      <w:bodyDiv w:val="1"/>
      <w:marLeft w:val="0"/>
      <w:marRight w:val="0"/>
      <w:marTop w:val="0"/>
      <w:marBottom w:val="0"/>
      <w:divBdr>
        <w:top w:val="none" w:sz="0" w:space="0" w:color="auto"/>
        <w:left w:val="none" w:sz="0" w:space="0" w:color="auto"/>
        <w:bottom w:val="none" w:sz="0" w:space="0" w:color="auto"/>
        <w:right w:val="none" w:sz="0" w:space="0" w:color="auto"/>
      </w:divBdr>
    </w:div>
    <w:div w:id="1790734906">
      <w:bodyDiv w:val="1"/>
      <w:marLeft w:val="0"/>
      <w:marRight w:val="0"/>
      <w:marTop w:val="0"/>
      <w:marBottom w:val="0"/>
      <w:divBdr>
        <w:top w:val="none" w:sz="0" w:space="0" w:color="auto"/>
        <w:left w:val="none" w:sz="0" w:space="0" w:color="auto"/>
        <w:bottom w:val="none" w:sz="0" w:space="0" w:color="auto"/>
        <w:right w:val="none" w:sz="0" w:space="0" w:color="auto"/>
      </w:divBdr>
    </w:div>
    <w:div w:id="2146460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Pages>
  <Words>1679</Words>
  <Characters>9573</Characters>
  <Application>Microsoft Office Word</Application>
  <DocSecurity>0</DocSecurity>
  <Lines>79</Lines>
  <Paragraphs>22</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ABSTRACT</vt:lpstr>
    </vt:vector>
  </TitlesOfParts>
  <Manager/>
  <Company>Carnegie Mellon University</Company>
  <LinksUpToDate>false</LinksUpToDate>
  <CharactersWithSpaces>11230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2</cp:revision>
  <dcterms:created xsi:type="dcterms:W3CDTF">2021-07-30T19:00:00Z</dcterms:created>
  <dcterms:modified xsi:type="dcterms:W3CDTF">2021-08-17T15:27:00Z</dcterms:modified>
  <cp:category/>
</cp:coreProperties>
</file>